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600"/>
        <w:gridCol w:w="1600"/>
        <w:gridCol w:w="1600"/>
        <w:gridCol w:w="1600"/>
        <w:gridCol w:w="2000"/>
        <w:gridCol w:w="400"/>
        <w:gridCol w:w="400"/>
        <w:gridCol w:w="400"/>
        <w:gridCol w:w="2000"/>
        <w:gridCol w:w="1400"/>
        <w:gridCol w:w="1400"/>
        <w:gridCol w:w="400"/>
        <w:gridCol w:w="1200"/>
        <w:gridCol w:w="40"/>
      </w:tblGrid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</w:pPr>
            <w:bookmarkStart w:id="0" w:name="JR_PAGE_ANCHOR_0_1"/>
            <w:bookmarkStart w:id="1" w:name="_GoBack"/>
            <w:bookmarkEnd w:id="0"/>
            <w:bookmarkEnd w:id="1"/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20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20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2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r>
              <w:rPr>
                <w:rFonts w:ascii="DejaVu Sans" w:eastAsia="DejaVu Sans" w:hAnsi="DejaVu Sans" w:cs="DejaVu Sans"/>
                <w:color w:val="000000"/>
                <w:sz w:val="24"/>
              </w:rPr>
              <w:t xml:space="preserve"> Plan integriteta</w:t>
            </w: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r>
              <w:rPr>
                <w:rFonts w:ascii="SansSerif" w:eastAsia="SansSerif" w:hAnsi="SansSerif" w:cs="SansSerif"/>
                <w:color w:val="000000"/>
                <w:sz w:val="24"/>
              </w:rPr>
              <w:t xml:space="preserve"> Zaštitnik ljudskih prava i sloboda Crne Gore - Ombudsman</w:t>
            </w: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2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REGISTAR RIZIKA</w:t>
            </w:r>
          </w:p>
        </w:tc>
        <w:tc>
          <w:tcPr>
            <w:tcW w:w="48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PROCJENE I MJERENJE RIZIKA</w:t>
            </w:r>
          </w:p>
        </w:tc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REAGOVANJE NA RIZIK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PREGLED I IZVJEŠTAVANJE O RIZICIMA</w:t>
            </w: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9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Oblasti rizika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Radna mjesta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Osnovni rizici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Postojeće mjere kontrole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Preostali rizici(rezidualni)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Vjer.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Posljedice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Procjena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Predložene mjere za smanjenje/otklanjanje rizika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Ogovorna osoba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Rok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St.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82" w:rsidRDefault="00571AAB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Kratak opis i ocjena realizacije mjere</w:t>
            </w: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48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podataka o sponzorstvima i donacijama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Donošenje odluka pod eksternim uticajem, suprotno javnom interesu zbog nepostojanja jasnih propisa za korišćenje diskrecionih ovlašćenja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Primanje sponzorstava i donacija suprotno odredbama Zakona o sprječavanju korupcije;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Nepoštovanje zakonske obaveze ev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identiranja primljenih sponzorstava i donacija i njihove vrijednosti;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Nedostavljanje Agenciji za sprječavanje korupcije pisanog izvještaja o primljenim sponzorstvima i donacijama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Puna transparentnost u procedurama odlučivanja u oblastima iz nadležnosti institucije;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redovnu evidenciju i kontrolu evidencije o primljenim sponzorstavima i donacijama;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U propisanim rokovima dostaviti Agenciji za antikorupcijiu izvjestaj o pimljenim donacijama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 kraja marta tekuce godine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20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20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200" w:type="dxa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8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Izvještaji relevantnih domaćih i međunarodnih subjekata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svih relevantnih subjekata i jedinica prilikom kreiranja politike razvoja i upravljanja;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Uzeti u obzir relevantne izvjestaje medjunarodnih institucija o radu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6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6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Izvještaji relevantnih domaćih i međunarodnih subjekata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6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Zastitnika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4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rada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Podjela radnih zadataka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Odstupanja u sprovođenju strategije razvoja institucije, programa i planova rada;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Nedovoljna i nekoordinisana saradnja između organizaconih jedinica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u toku godine izvještavati o sprovođenju strateških dokumenata, planova i programa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8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5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Negativna ocjena javnog mnjenja i gubitak povjerenja javnosti u rad institucije zbog nedovoljne transparentnosti i informisanja javnosti o radu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Puna transparentnost u procedurama odlučivanja u oblastima iz nadležnosti institucije.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Informacije od znacaja za rad i promociju Institucije objavljivati na sajtu institucije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8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Nepovoljna ocjena javnog mnjenja i nedovoljno povjerenje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javnosti u rad institucije zbog nedovoljne transparentnosti 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informisanja javnosti o radu institucije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izvještavanje o sprovedenim kontrolama;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Praćenje realizacije preporuka za unaprjeđenje rada i kontinuirano unapređivati internet stranicu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44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4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javni funkcioneri (imenovani i zaposleni u instituciji)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poklona i odsustvo evidencije poklona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4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poklona (javnih funkcionera) suprotno odredbama Zakona o sprječavanju korupcije;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Nepoštovanje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zakonske obaveze evidentiranja primljenih poklona i njihove vrijednosti;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Nedostavljanje Agenciji za sprječavanje korupcije izvoda iz evidencije poklona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Vršiti redovnu kontrolu evidencije o primljenim poklonima;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Dostaviti Agenciji za sprječavanje korupcije izvod iz evidencije poklona na propisanom obrascu, u roku propisanom zakonom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 kraja 2023.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6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6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javni funkcioneri (imenovani i zaposleni u instituciji)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6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nepotpuno dostavljanje izvještaja o imovini i prihodima javnih funkcionera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 propisanim rokovima i u skladu sa zakonom dostavljati izvještaje o imovini i prihodima javnih funkcionera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javni funkcioneri (imenovani i zaposleni u instituciji)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31.03.2023.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504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0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poklona suprotno odredbama zakona;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Nedovoljna informisanost zaposlenih o obavezi prijavljivanja poklona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Upoznati  službenike  o obavezi prijavljivanja svih poklona i da vode evidenciju o primljenim poklonima i izvještavaju nadležnu službu;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kontinuriarno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su u obavezi da ažurno vode evidenciju o primljenim poklonima i izvještavaju nadležnu službu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Kadrovska politika, etično i profesionalno ponašanje 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Podici nivo svijesti zaposlenih za prijavljivanje korupcije i drugih nezakonitih 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Vrsiti edukaciju zaposlenih o mehanizmima prijavljivanja korupcije i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9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9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960"/>
                    </w:trPr>
                    <w:tc>
                      <w:tcPr>
                        <w:tcW w:w="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9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radnji unutar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drugih nezakonitih radnji unutar institucije a posebno prema službenicima koji pokrivaju rizične grupe poslova i uvesti obavezu da se na svim kolegijumima raspravlja i o temi integriteta i prevencije korupcije kao jednoj od tačaka dnevnog reda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9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63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3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podataka o ličnosti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diskriminacije na radnom mjestu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3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zaštite identiteta i prava zviždača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zastitu zvizdaca od svih oblika diskrimiancije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31.03.2023.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Postupati po preporukama Agencije za sprječavanje korupcije (u slučajevima kad Agencija sprovodi postupak po prijavi) i izvještavati Agenciju o preduzetim radnjama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Upoznati novozaposlene sa mogućnošću prijavljivanja korupcije licu koje je određeno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7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7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7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2.6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7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Zakon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Kontrolisati obavljanje poslova zaposlenih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1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1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2.6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Naložiti svim Zamjenicima/ama Zaštitnika i Generalnom sekretaru da obezbjede puno sprovođenje obaveza u skladu sa Zakonima o nadležnostima Institucije i pravilima i procedurama.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Kontrolisati obavljanje poslova zaposlenih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5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9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9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9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2.7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Neefikasna i neracionalna kadrovska politika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9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Nedovoljni kadrovski kapaciteti u određenim organizacionim jedinicama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nastanka sukoba interesa prilikom donošenja odluka i sprovođenja zakonskih  procedura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Izvršiti procjenu potrebnog  kadra za efikasno sprovođenje poslova iz nadležnosti institucije; Popuniti upražnjena radna mjesta u skladu sa Pravilnikom ounutrašnjoj organizaciji i sistematizaciji i planovima zapošljavanja Donijeti interno uputstvo o sprječ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avanju sukoba interesa i vršiti periodičnu kontrolu zahtjeva za izuzeće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3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2.8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nastanka sukoba interesa prilikom donošenja odluka i sprovođenja zakonskih  procedura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63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periodičnu kontrolu zahtjeva za izuzece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8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2.9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Povrede profesionalnih, etičkih pravila i pristrasno ponašanje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i program obuka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Nedostatak stručnog znanja i vještina kadra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redovno sprovođenje plana i programa obuka u pojedinim oblastima rada kao i obuke zaposlenih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7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80"/>
                    </w:trPr>
                    <w:tc>
                      <w:tcPr>
                        <w:tcW w:w="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2.10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Kadrovska politika, etično i profesionalno 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kontrola rada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Narušavanje 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16982" w:rsidRDefault="00571AAB">
                  <w:r>
                    <w:br w:type="page"/>
                  </w:r>
                </w:p>
                <w:p w:rsidR="00816982" w:rsidRDefault="00816982">
                  <w:bookmarkStart w:id="5" w:name="JR_PAGE_ANCHOR_0_5"/>
                  <w:bookmarkEnd w:id="5"/>
                </w:p>
                <w:p w:rsidR="00816982" w:rsidRDefault="00571AAB">
                  <w:r>
                    <w:br w:type="page"/>
                  </w:r>
                </w:p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Obezbijediti transparentnost  u  donošenju i 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Redovno u toku izborne kampanje objavljivati i dostavljati Agenciji za 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generalni 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4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400"/>
                    </w:trPr>
                    <w:tc>
                      <w:tcPr>
                        <w:tcW w:w="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ponašanje zaposlenih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finansijske službe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principa transparentnosti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16982" w:rsidRDefault="00571AAB">
                  <w:r>
                    <w:br w:type="page"/>
                  </w:r>
                </w:p>
                <w:p w:rsidR="00816982" w:rsidRDefault="00816982">
                  <w:bookmarkStart w:id="6" w:name="JR_PAGE_ANCHOR_0_6"/>
                  <w:bookmarkEnd w:id="6"/>
                </w:p>
                <w:p w:rsidR="00816982" w:rsidRDefault="00571AAB">
                  <w:r>
                    <w:br w:type="page"/>
                  </w:r>
                </w:p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4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objavljivanju dokumenata saglasno zakonu kojim je uređeno finansiranje političkih subjekata i izbornih kampanja zapošljavanju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sprječavanje korupcije sve dokumente saglasno zakonu kojim je uređeno finansiranje političkih subjekata i izbornih kampanja (analitičke kartice, putne naloge i odluke o zapošljavanju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sekretar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3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finansijske službe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rada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i izvršavanje  budžeta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Osigurati učešće svih relevantnih subjekata i jedinica prilikom planiranja budžeta;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finansijske službe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Pohađati relevantne obuke i seminare na temu planiranja budžeta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finansijske službe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1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Izvještavanje Agenciji za sprječavanje korupcije 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i nedovoljno transparentno trošenje budžetskih sredstava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sprovođenje  finansijskih kontrola.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Postupati po preporukama iz izvještaja o izvršenoj reviziji.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finansijske službe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1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1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1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sprovođenje postupaka javnih nabavki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Prekoračenje i zloupotreba službenih nadležnosti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Ugovor o javnoj nabavci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1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Odstupanje od realizacije aktivnosti predviđenih ugovorima o javnoj nabavci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Blagovremena i profesionalna saradnja starješine organa, rukovodilaca organizacionih jedinica i službenika za javne nabavke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Propisano izvještavanje o realizaciji ugovora javnim nabavkama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8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  <w:bookmarkStart w:id="7" w:name="JR_PAGE_ANCHOR_0_7"/>
            <w:bookmarkEnd w:id="7"/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4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sprovođenje postupaka javnih nabavki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Prekoračenje i zloupotreba službenih nadležnosti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Ugovor o javnoj nabavci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Odstupanje od realizacije aktivnosti predviđenih ugovorima o javnoj nabavci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3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80"/>
                    </w:trPr>
                    <w:tc>
                      <w:tcPr>
                        <w:tcW w:w="3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1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1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Portal javnih nabavki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javnih nabavki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Objaviti plan javnih nabavki za tekuću godinu, do 31. januara tekuće godine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31.01.2022.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Objavljivati ugovore i sve anekse ugovora na propisani način i u skladu sa propisima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41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1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1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članovi komisije za otvaranje i vrednovanje ponuda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ulaganja žalbi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1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Postoji mogućnost davanja prednosti određenoj firmi kroz neobjektivno bodovanje pristiglih ponuda zbog prijateljskih i rođačkih veza (klijentelizam, nepotizam, kronizam) ili sukoba interesa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Pratiti poštovanje Zakona o javnim nabavkama  i unijeti antikorupcijsku klauzulu u ugovorima o javnim nabavkama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Provjera izjava o nepostojanju sukoba interesa članova tenderskih komisija i službenika za javne nabavke i obrazaca za imovinu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2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3.6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službenici koji pripremaju tehničke specifikacije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Davanje prednosti ođrenoj firmi u procesu javne nabavke, na način da se tehnička specifikacija prilagođava  za određenu firmu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Objavljivati izjave o nepostojanju sukoba interesa ovlašćenog lica 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drugih lica koja učestvuju u postupku nabavke, na portalu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javnih nabavki, kao sastavni dio tenderske dokumentacije 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8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  <w:bookmarkStart w:id="8" w:name="JR_PAGE_ANCHOR_0_8"/>
            <w:bookmarkEnd w:id="8"/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6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3.6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službenici koji pripremaju tehničke specifikacije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Davanje prednosti ođrenoj firmi u procesu javne nabavke, na način da se tehnička specifikacija prilagođava  za određenu firmu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Uključivati po jednog eksperta (u složenim predmetima) iz oblasti na koju se odnosi konkretna javna nabavka u sastav komisije;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24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IT službe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IT bezbjednost podataka kao i njihovo korišćenje za privatne svrhe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49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 unapređivati elektronsku arhivu i elektronsko vođenje predmeta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Obezbijediti kontinuirani stručni nadzor nad podacima;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IT službe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314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1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 za opšte pravne poslove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1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postupanje sa službenom dokumentacijom i informacijama zbog nedovoljnih mjera fizičke bezbjednosti i tehničke sigurnosti.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uslove za fizicko obezbjedjenje imovine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IT službe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Poštovanje i sprovođenje zakonski propisane procedure obrade tajnih podataka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8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 za opšte pravne poslove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Zloupotreba povjerljivih službenih podataka i informacija o korisnicima usluga / strankama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zaštita povjerljivih podataka zbog neadekvatnih mjera administrativne zaštite tajnih podataka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Donositi akte kojima će se označiti stepen tajnosti podataka koji su u posjedu institucije i vršiti kontrolu  nad upotrebom istih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10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Neadekvatan ili neefikasan sistem kontrole nad prijemom i razvrstavanjem dokumentacije 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Vršiti redovne kontrole nad prijemom i razvrstavanjem dokumentacije u cilju sprečavanja gubljenja,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  <w:bookmarkStart w:id="9" w:name="JR_PAGE_ANCHOR_0_9"/>
            <w:bookmarkEnd w:id="9"/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24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2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Neadekvatan ili neefikasan sistem kontrole nad prijemom i razvrstavanjem dokumentacije 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oštećenja ili neevidentiranja dokumentacije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Skenirati i sačuvati u elektronskoj verziji svaki primljeni akt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44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4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odnosi sa javnošću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javnosti o radu institucije;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Nedovoljna i nekoordinisana saradnja između organizaconih cjelina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Azurno i blagovremeno dostavljati informacije od znacaja za rad Institucije sluzbenika i Informacije o radu institucije redovno objavljivati na sajtu Zastitnika, kao i postupke po sopstvenoj inicijativi i druge akte od značaja za rad institucije;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Blagovremeno odgovarati na upite i zahtjeve medijskih kuca i drugih subjekata.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kontinuriano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18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6.1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slobodan pristup informacijama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Neobjavljivanje dokumenata shodno Zakono o slobodnom pristupu informacijama, kao i ostalih informacija od značaja za građane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objavljivati i ažurirati propise koji regulišu rad institucije na internet stranici, u skladu sa članom 12 ZSPI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slobodan pristup informacijama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6.2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slobodan pristup informacijama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Vodič za slobodan pristup informacijama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Neosnovano uskraćivanje podnosiocu zahtjeva pristup informaciji, neobavještavanje podnosioca zahtjeva o rješavanju zahtjeva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36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Donositi rješenja po zahtjevima o slobodnom pristupu informacijama u zakonskom roku i izvjestavati o broju podnijetih i riješenih zahtjeva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slobodan pristup informacijama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16982" w:rsidRDefault="00816982">
            <w:pPr>
              <w:pStyle w:val="EMPTYCELLSTYLE"/>
              <w:pageBreakBefore/>
            </w:pPr>
            <w:bookmarkStart w:id="10" w:name="JR_PAGE_ANCHOR_0_10"/>
            <w:bookmarkEnd w:id="10"/>
          </w:p>
        </w:tc>
        <w:tc>
          <w:tcPr>
            <w:tcW w:w="16000" w:type="dxa"/>
            <w:gridSpan w:val="13"/>
          </w:tcPr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  <w:tr w:rsidR="00816982">
        <w:tblPrEx>
          <w:tblCellMar>
            <w:top w:w="0" w:type="dxa"/>
            <w:bottom w:w="0" w:type="dxa"/>
          </w:tblCellMar>
        </w:tblPrEx>
        <w:trPr>
          <w:trHeight w:hRule="exact" w:val="4080"/>
        </w:trPr>
        <w:tc>
          <w:tcPr>
            <w:tcW w:w="1" w:type="dxa"/>
          </w:tcPr>
          <w:p w:rsidR="00816982" w:rsidRDefault="00816982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81698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7.1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816982" w:rsidRDefault="00571AA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Zabrana diskriminacije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zabrana  diskriminacije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zabrani diskriminacije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Zaštitniku ljudskih prava i sloboda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Smjernice za eliminaciju seksizma u radu Institucije Zaštitnika</w:t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Smjernice za postupanje u slučajevima diskriminacije službenih lica u Stručnoj službi Zaštitnika</w:t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ljudskog dostojanstvo ili prava lica ili grupe lica;  fizička, seksualna, psihološke ili socioekonomske štete ili patnje lica ili grupe lica, nep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rijateljsko, degradirajuće, ponižavajuće ili uvredljivo okruženje;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Postupanje u slučajevima diskriminacije suprotno praksi Zaštitnik što rezultira neujednacin i razlicitim postupanjem i gubitka povjerenja u rad Zaštitnika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816982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816982" w:rsidRDefault="00571AAB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816982" w:rsidRDefault="00816982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 edukovati sve zaposlene o Smjernicama za eliminaciju seksizma u radu institucije Zastitnika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81698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816982" w:rsidRDefault="00571AAB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Primjenjivati u radu Smjernice za postupanje u slučajevima diskriminacije u stručnoj službi zaštitnika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Stručna služba Zaštitnika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571AAB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  <w:tr w:rsidR="0081698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60"/>
                    </w:trPr>
                    <w:tc>
                      <w:tcPr>
                        <w:tcW w:w="20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816982" w:rsidRDefault="00816982">
                        <w:pPr>
                          <w:pStyle w:val="EMPTYCELLSTYLE"/>
                        </w:pPr>
                      </w:p>
                    </w:tc>
                  </w:tr>
                </w:tbl>
                <w:p w:rsidR="00816982" w:rsidRDefault="00816982">
                  <w:pPr>
                    <w:pStyle w:val="EMPTYCELLSTYLE"/>
                  </w:pPr>
                </w:p>
              </w:tc>
            </w:tr>
          </w:tbl>
          <w:p w:rsidR="00816982" w:rsidRDefault="00816982">
            <w:pPr>
              <w:pStyle w:val="EMPTYCELLSTYLE"/>
            </w:pPr>
          </w:p>
        </w:tc>
        <w:tc>
          <w:tcPr>
            <w:tcW w:w="40" w:type="dxa"/>
          </w:tcPr>
          <w:p w:rsidR="00816982" w:rsidRDefault="00816982">
            <w:pPr>
              <w:pStyle w:val="EMPTYCELLSTYLE"/>
            </w:pPr>
          </w:p>
        </w:tc>
      </w:tr>
    </w:tbl>
    <w:p w:rsidR="00571AAB" w:rsidRDefault="00571AAB"/>
    <w:sectPr w:rsidR="00571AAB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982"/>
    <w:rsid w:val="00571AAB"/>
    <w:rsid w:val="00816982"/>
    <w:rsid w:val="009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61892D-B9FD-4488-9182-87BE119D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TableTH">
    <w:name w:val="Table_TH"/>
    <w:qFormat/>
    <w:rPr>
      <w:rFonts w:ascii="SansSerif" w:eastAsia="SansSerif" w:hAnsi="SansSerif" w:cs="SansSerif"/>
      <w:color w:val="000000"/>
    </w:rPr>
  </w:style>
  <w:style w:type="paragraph" w:customStyle="1" w:styleId="TableCH">
    <w:name w:val="Table_CH"/>
    <w:qFormat/>
    <w:rPr>
      <w:rFonts w:ascii="SansSerif" w:eastAsia="SansSerif" w:hAnsi="SansSerif" w:cs="SansSerif"/>
      <w:color w:val="000000"/>
    </w:rPr>
  </w:style>
  <w:style w:type="paragraph" w:customStyle="1" w:styleId="TableTD">
    <w:name w:val="Table_TD"/>
    <w:qFormat/>
    <w:rPr>
      <w:rFonts w:ascii="SansSerif" w:eastAsia="SansSerif" w:hAnsi="SansSerif" w:cs="SansSerif"/>
      <w:color w:val="000000"/>
    </w:rPr>
  </w:style>
  <w:style w:type="paragraph" w:customStyle="1" w:styleId="narandzasta">
    <w:name w:val="narandzasta"/>
    <w:qFormat/>
    <w:rPr>
      <w:rFonts w:ascii="SansSerif" w:eastAsia="SansSerif" w:hAnsi="SansSerif" w:cs="SansSerif"/>
      <w:color w:val="000000"/>
    </w:rPr>
  </w:style>
  <w:style w:type="paragraph" w:customStyle="1" w:styleId="zelena">
    <w:name w:val="zelena"/>
    <w:qFormat/>
    <w:rPr>
      <w:rFonts w:ascii="SansSerif" w:eastAsia="SansSerif" w:hAnsi="SansSerif" w:cs="SansSerif"/>
      <w:color w:val="000000"/>
    </w:rPr>
  </w:style>
  <w:style w:type="paragraph" w:customStyle="1" w:styleId="crvena">
    <w:name w:val="crvena"/>
    <w:qFormat/>
    <w:rPr>
      <w:rFonts w:ascii="SansSerif" w:eastAsia="SansSerif" w:hAnsi="SansSerif" w:cs="SansSerif"/>
      <w:color w:val="000000"/>
    </w:rPr>
  </w:style>
  <w:style w:type="paragraph" w:customStyle="1" w:styleId="Style1">
    <w:name w:val="Style1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3634</Words>
  <Characters>20715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2022-12-19T07:46:00Z</dcterms:created>
  <dcterms:modified xsi:type="dcterms:W3CDTF">2022-12-19T07:46:00Z</dcterms:modified>
</cp:coreProperties>
</file>